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DF" w:rsidRDefault="00C35F62" w:rsidP="00C35F62">
      <w:pPr>
        <w:jc w:val="center"/>
        <w:rPr>
          <w:rFonts w:ascii="Arial" w:hAnsi="Arial" w:cs="Arial"/>
          <w:b/>
        </w:rPr>
      </w:pPr>
      <w:r w:rsidRPr="00C35F62">
        <w:rPr>
          <w:rFonts w:ascii="Arial" w:hAnsi="Arial" w:cs="Arial"/>
          <w:b/>
        </w:rPr>
        <w:t>EVALUACION DE ACTIVIDADES DEL PLAN DE ECOESCUELAS</w:t>
      </w:r>
    </w:p>
    <w:tbl>
      <w:tblPr>
        <w:tblW w:w="1530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701"/>
        <w:gridCol w:w="3119"/>
        <w:gridCol w:w="1984"/>
        <w:gridCol w:w="2688"/>
        <w:gridCol w:w="6"/>
        <w:gridCol w:w="1701"/>
        <w:gridCol w:w="7"/>
        <w:gridCol w:w="4103"/>
      </w:tblGrid>
      <w:tr w:rsidR="00C35F62" w:rsidRPr="00FC11DF" w:rsidTr="00653560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Curso 2019/2020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Souvenir Lt BT" w:eastAsia="Times New Roman" w:hAnsi="Souvenir Lt BT" w:cs="Souvenir Lt BT"/>
                <w:sz w:val="20"/>
                <w:szCs w:val="20"/>
                <w:lang w:eastAsia="ar-SA"/>
              </w:rPr>
            </w:pPr>
          </w:p>
        </w:tc>
      </w:tr>
      <w:tr w:rsidR="00C35F62" w:rsidRPr="00FC11DF" w:rsidTr="006535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BEF"/>
          </w:tcPr>
          <w:p w:rsidR="00C35F62" w:rsidRPr="00FC11DF" w:rsidRDefault="00C35F62" w:rsidP="00653560">
            <w:pPr>
              <w:suppressAutoHyphens/>
              <w:autoSpaceDE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Actividad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BEF"/>
          </w:tcPr>
          <w:p w:rsidR="00C35F62" w:rsidRPr="00FC11DF" w:rsidRDefault="00C35F62" w:rsidP="00653560">
            <w:pPr>
              <w:suppressAutoHyphens/>
              <w:autoSpaceDE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Actuaciones llevadas a cabo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BEF"/>
          </w:tcPr>
          <w:p w:rsidR="00C35F62" w:rsidRPr="00FC11DF" w:rsidRDefault="00C35F62" w:rsidP="00653560">
            <w:pPr>
              <w:suppressAutoHyphens/>
              <w:autoSpaceDE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Valoración Resultados obtenidos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BEF"/>
          </w:tcPr>
          <w:p w:rsidR="00C35F62" w:rsidRPr="00FC11DF" w:rsidRDefault="00C35F62" w:rsidP="00653560">
            <w:pPr>
              <w:suppressAutoHyphens/>
              <w:autoSpaceDE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Propuestas de mejora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BEF"/>
          </w:tcPr>
          <w:p w:rsidR="00C35F62" w:rsidRPr="00FC11DF" w:rsidRDefault="00C35F62" w:rsidP="00653560">
            <w:pPr>
              <w:suppressAutoHyphens/>
              <w:autoSpaceDE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Previsión de continuidad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BEF"/>
          </w:tcPr>
          <w:p w:rsidR="00C35F62" w:rsidRPr="00FC11DF" w:rsidRDefault="00C35F62" w:rsidP="00653560">
            <w:pPr>
              <w:suppressAutoHyphens/>
              <w:autoSpaceDE w:val="0"/>
              <w:spacing w:before="60" w:after="60" w:line="360" w:lineRule="auto"/>
              <w:jc w:val="center"/>
              <w:rPr>
                <w:rFonts w:ascii="Souvenir Lt BT" w:eastAsia="Times New Roman" w:hAnsi="Souvenir Lt BT" w:cs="Souvenir Lt BT"/>
                <w:sz w:val="20"/>
                <w:szCs w:val="20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Evaluación final</w:t>
            </w:r>
          </w:p>
        </w:tc>
      </w:tr>
      <w:tr w:rsidR="00C35F62" w:rsidRPr="00FC11DF" w:rsidTr="0065356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C35F62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ECO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ESCUELAS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lastRenderedPageBreak/>
              <w:drawing>
                <wp:inline distT="0" distB="0" distL="0" distR="0" wp14:anchorId="443FF928" wp14:editId="654640B5">
                  <wp:extent cx="1057275" cy="1085850"/>
                  <wp:effectExtent l="0" t="0" r="9525" b="0"/>
                  <wp:docPr id="5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ecoescuel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09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 xml:space="preserve">      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lastRenderedPageBreak/>
              <w:t>CHARLA SOBRE EL RECICLAJE Y CÓMO ACTUAR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Una empresa de reciclaje nos da una charla en la plaza del pueblo sobre el reciclaje y la clasificación de los residuos en los diferentes contenedores por colores.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532D3D0A" wp14:editId="098B87F2">
                  <wp:extent cx="709834" cy="533400"/>
                  <wp:effectExtent l="0" t="0" r="0" b="0"/>
                  <wp:docPr id="521" name="Imagen 521" descr="Dibujos de contenedores de reciclaje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de contenedores de reciclaje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54" cy="53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actividad estuvo interesante ya que se utilizó un vocabulario accesible para los alumnos y se les hizo partícipes directos de la actividad.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En general estuvo correcta.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propondrán actividades similares en cursos próximos relacionados con el tema tratado en 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ecoescuelas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valoración es positiva.</w:t>
            </w:r>
          </w:p>
        </w:tc>
      </w:tr>
      <w:tr w:rsidR="00C35F62" w:rsidRPr="00FC11DF" w:rsidTr="00653560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CONCURSO “OTRO FINAL ES POSIBLE”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trata de un concurso a nivel de Comunidad autónoma que consiste en que el centro deberá conseguir recopilar la mayor cantidad de residuos electrónicos posibles. Aquel colegio que en relación a su número de alumnos más residuos consiga tendrá un premio de una importante cuantía económica. El concurso incluye una charla para enseñar a los alumnos a qué se refiere el concepto de residuo electrónico y la gravedad de su no reciclado, además se realiza la entrega de una 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compostera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se explica su funcionamiento. 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  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48EB0430" wp14:editId="7B0C84E5">
                  <wp:extent cx="651006" cy="628650"/>
                  <wp:effectExtent l="0" t="0" r="0" b="0"/>
                  <wp:docPr id="522" name="Imagen 522" descr="Qué hacer con esos viejos disquetes? Ideas para reutilizarl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ué hacer con esos viejos disquetes? Ideas para reutilizarl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96" cy="6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La actividad resultó muy motivante para los alumnos a pesar de que el concurso no se pudo llevar a cabo debido a la situación sobrevenida del Covid-19.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Estuvo muy correcta, aunque si hay que destacar que durante y después del confinamiento, la empresa organizadora del concurso no se ha puesto en contacto con nosotros para dar solución a la ya recogida de los residuos.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propondrá a la empresa que se lleve a cabo el curso que viene la reanudación del concurso.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valoración es positivo aunque esperamos que en el curso siguiente se vuelva a retomar el concurso.</w:t>
            </w:r>
          </w:p>
        </w:tc>
      </w:tr>
      <w:tr w:rsidR="00C35F62" w:rsidRPr="00FC11DF" w:rsidTr="00653560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FABRICACIÓN DE MACETAS DECORATIVAS CON MATERIAL RECICLADO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 grupo de 4º de primaria realiza unas macetas para el huerto vertical situado en la valla del cole, hechas con recipientes de plástico (detergentes) y pintadas de forma que parezcan máscaras africanas.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2A532EC4" wp14:editId="5435EC7E">
                  <wp:extent cx="627256" cy="942975"/>
                  <wp:effectExtent l="0" t="0" r="1905" b="0"/>
                  <wp:docPr id="523" name="Imagen 523" descr="botellas de detergente convertidas en macetas - Buscar con Goog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otellas de detergente convertidas en macetas - Buscar con Goog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56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aprovechó el área de plástica para su realización y los niños disfrutaron muchísimo.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Quizá el resultado hubiese sido mejor si hubiéramos dedicado más clases para ello.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Dado que el huerto vertical es una propuesta de cara al año que viene se puede proponer la actividad para otros cursos.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valoración es positiva aunque debido a la situación de la pandemia no se han podido mantener regadas las especies sembradas.</w:t>
            </w:r>
          </w:p>
        </w:tc>
      </w:tr>
      <w:tr w:rsidR="00C35F62" w:rsidRPr="00FC11DF" w:rsidTr="00653560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CANCIÓN DEL DÍA DE LA PAZ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grupos de 4º y 5º de primaria preparan una canción para el día de la paz con la base musical de “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sweet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child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of mine” de 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Guns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and roses. La actividad se realizó en el patio del colegio.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  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3BE8F11" wp14:editId="30834B3B">
                  <wp:extent cx="485775" cy="485775"/>
                  <wp:effectExtent l="0" t="0" r="9525" b="9525"/>
                  <wp:docPr id="524" name="Imagen 524" descr="Símbolo de la paz adorable con estilo floral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ímbolo de la paz adorable con estilo floral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actividad resulto muy interesante y gratificante para los niños después de trabajar este tema desde diferentes ámbitos en el área de música.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Por falta de tiempo sólo lo hicieron 4º y 5º de primaria pero hubiese sido muy interesante hacerlo todo el colegio entero.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pueden plantear para otros cursos actividades parecidas.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valoración es positiva aunque mejorable.</w:t>
            </w:r>
          </w:p>
        </w:tc>
      </w:tr>
      <w:tr w:rsidR="00C35F62" w:rsidRPr="00FC11DF" w:rsidTr="00653560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EXPOSICIÓN DE BELÉN NAVIDEÑO HECHO CON CÁSCARAS DE NUEZ.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 Belén fue expuesto en el edificio de infantil cedido por la madre de una compañera.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7E9D7EC" wp14:editId="210D4922">
                  <wp:extent cx="702129" cy="561975"/>
                  <wp:effectExtent l="0" t="0" r="3175" b="0"/>
                  <wp:docPr id="525" name="Imagen 525" descr="Yellow Falling Star Icon Christmas Star Stock Vector (Royalty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ellow Falling Star Icon Christmas Star Stock Vector (Royalty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29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360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Quedó bonito y original</w:t>
            </w:r>
            <w:r w:rsidRPr="00FC11DF"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Ya que se realizó sin la participación de los alumnos hubiese estado genial que se hubiese realizado por los alumnos y alumnas del centro.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puede proponer una actividad similar donde participan los alumnos siguiendo el ejemplo del expuesto este curso.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Mejorable.</w:t>
            </w:r>
          </w:p>
        </w:tc>
      </w:tr>
      <w:tr w:rsidR="00C35F62" w:rsidRPr="00FC11DF" w:rsidTr="00653560"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SIEMBRA DE ESPECIES VEGETALES EN EL HUERTO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lleva a cabo la siembra de ajos, habas y guisantes en la parte destinada al huerto. Cada alumno siembra una semilla de cada especie y pone un cartel con su nombre para su posterior seguimiento.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t xml:space="preserve"> 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15BB735F" wp14:editId="5345CB11">
                  <wp:extent cx="1009650" cy="659625"/>
                  <wp:effectExtent l="0" t="0" r="0" b="7620"/>
                  <wp:docPr id="526" name="Imagen 526" descr="Ilustración de Dibujos Animados Del Hombre Siembra O Monedas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lustración de Dibujos Animados Del Hombre Siembra O Monedas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ajos fueron creciendo aunque en el momento de su recogida ya habían sido suspendidas las clases presenciales, por lo que la actividad no pudo ser finalizada.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Lo niños tuvieron tiempo de ver crecer ajos, pero el resto, debido a las condiciones climáticas y la ausencia de riego no pudo verse crecido. La actividad quedó incompleta.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repetirá en cursos posteriores la siembra de productos en el huerto.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Mejorable en otras condiciones.</w:t>
            </w:r>
          </w:p>
        </w:tc>
      </w:tr>
      <w:tr w:rsidR="00C35F62" w:rsidRPr="00FC11DF" w:rsidTr="00653560">
        <w:trPr>
          <w:trHeight w:val="424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ALMUERZO SALUDABLE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propone un concurso de almuerzo saludable con un mes de duración, donde los alumnos y alumnas deben llevar de almuerzo alimentos que se consideren saludables. Se llevará a cabo un registro por parte de los tutores y se dará un premio a los niños que más días hayan llevado el almuerzo propuesto.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78C36EC" wp14:editId="1923DD38">
                  <wp:extent cx="948963" cy="628650"/>
                  <wp:effectExtent l="0" t="0" r="3810" b="0"/>
                  <wp:docPr id="527" name="Imagen 527" descr="arcoiris-saludable-decorar-comida-ninos | Cocina V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coiris-saludable-decorar-comida-ninos | Cocina V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86" cy="63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La actividad resulta todo un éxito, de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hecho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la mayor parte de los alumnos cambian sus rutinas y podemos ver almuerzos variados y saludables. La pena es que debido al covid-19 no se puede finalizar el </w:t>
            </w:r>
          </w:p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Concurso.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En general la actividad funcionó muy bien pero no pudo ser finalizada por las circunstancias sobrevenidas.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propondrá para que se realice en cursos posteriores.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Muy positiva.</w:t>
            </w:r>
          </w:p>
        </w:tc>
      </w:tr>
      <w:tr w:rsidR="00C35F62" w:rsidRPr="00FC11DF" w:rsidTr="00653560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        RETO SEMANAL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DÍA DE LAS AVES MIGRATORIAS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Donde tras explicarles el 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qué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este día les pedíamos que realizaran </w:t>
            </w: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fotografías de seres vivos que pudieran servir de alimento a aves migratorias. 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0FEA6CE3" wp14:editId="2F5FF524">
                  <wp:extent cx="781050" cy="714375"/>
                  <wp:effectExtent l="0" t="0" r="0" b="9525"/>
                  <wp:docPr id="528" name="Imagen 528" descr="Ilustraciones, imágenes y vectores de stock sobre Vintage Came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ones, imágenes y vectores de stock sobre Vintage Came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Obtenemos  una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respuesta muy variada,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desde un vídeo de un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ruiseñor que tuvo un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pequeño percance y posteriormente fue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liberado con éxito,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hasta imágenes tan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bellas de minúsculos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insectos sobre vistosas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maravillosas flores de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primavera que sirven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alimento a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pequeños pájaros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como el abejaruco o el </w:t>
            </w:r>
          </w:p>
          <w:p w:rsidR="00C35F62" w:rsidRPr="00FC11DF" w:rsidRDefault="00C35F62" w:rsidP="00653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petirrojo</w:t>
            </w:r>
          </w:p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360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lastRenderedPageBreak/>
              <w:t xml:space="preserve">La actividad resultó positiva pues los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niños  han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 participado de manera activa y mostrando gran interés.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estudiar por el claustro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Positiva pues ha logrado motivar a los niños ante los momentos vividos</w:t>
            </w:r>
          </w:p>
        </w:tc>
      </w:tr>
      <w:tr w:rsidR="00C35F62" w:rsidRPr="00FC11DF" w:rsidTr="00653560">
        <w:trPr>
          <w:trHeight w:val="311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        RETO SEMANAL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DÍA DE LOS PADRES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propuso un reto en familia que nos sirviera para valorar la importancia de cuidar nuestro PLANETA y a las personas que lo formamos. Para ello, en esta ocasión, les planteamos la posibilidad de crear un dibujo en familia en el que se pudiera apreciar la belleza del PLANETA y el </w:t>
            </w:r>
            <w:proofErr w:type="spell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qué</w:t>
            </w:r>
            <w:proofErr w:type="spell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la importancia de su cuidado.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0F4C3428" wp14:editId="7979A058">
                  <wp:extent cx="857250" cy="600075"/>
                  <wp:effectExtent l="0" t="0" r="0" b="9525"/>
                  <wp:docPr id="529" name="Imagen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67071" name="Imagen 31356707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Actividad que resultó curiosa al ver cómo cada familia muestra su visión del cuidado y la importancia del planeta.</w:t>
            </w:r>
          </w:p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360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Es una actividad a la cual se la dio libertad de elaboración por lo que no tiene por qué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tener  ningún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 tipo de modificación.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En otra ocasión podríamos dar más pautas para que todos mostraran o dirigieran su interés en un punto, pero consideramos que la libertad de pensamiento y acción en nuestros niños junto a sus familias ha sido fantástica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Podrían realizarse actividades similares visualizando aquellos días especiales que tienen que ver con la naturaleza y el planeta y hacer partícipes a las familias.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Positiva ya que la respuesta ha sido variada y diversa.</w:t>
            </w:r>
          </w:p>
        </w:tc>
      </w:tr>
      <w:tr w:rsidR="00C35F62" w:rsidRPr="00FC11DF" w:rsidTr="00653560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        RETO SEMANAL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PLANTAR UN ÁRBOL CON AMOR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En un pequeño rincón de nuestro jardín, en una simple maceta, en el campo que vemos desde nuestra ventana y que ya podemos visitar… cualquier, espacio podría dar lugar al comienzo de una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nueva  vida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 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C35F62" w:rsidRPr="00FC11DF" w:rsidRDefault="00C35F62" w:rsidP="00653560">
            <w:pPr>
              <w:tabs>
                <w:tab w:val="left" w:pos="870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ab/>
              <w:t xml:space="preserve">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4A094A8D" wp14:editId="617DE35B">
                  <wp:extent cx="533400" cy="537882"/>
                  <wp:effectExtent l="0" t="0" r="0" b="0"/>
                  <wp:docPr id="530" name="Imagen 530" descr="ᐈ Arbol de la vida vector de stock, dibujos árbol | descarg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ᐈ Arbol de la vida vector de stock, dibujos árbol | descargar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43" cy="53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¡Fantástico! Los niños se animaron a plantar toda variedad de semillas; albaricoques, limones, y hasta una gran semilla de aguacate.</w:t>
            </w:r>
          </w:p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360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Podríamos mejorar la actividad si se hiciera en algún terreno cedido por el Ayuntamiento en el que el colegio junto con sus niños pudieran  ir y seguir el proceso de las diferentes semillas plantadas, así como su cuidado.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estudiar por el claustro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Positiva ya que el hecho de participar en ella nos viene a decir que amamos nuestra naturaleza y con nuestra ayuda haremos posible su expansión.</w:t>
            </w:r>
          </w:p>
        </w:tc>
      </w:tr>
      <w:tr w:rsidR="00C35F62" w:rsidRPr="00FC11DF" w:rsidTr="00653560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VISITA A NUESTROS HOGARES DE NUESTRO NUEVO AMIGO “CARACOL”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Desde un domicilio particular, una familia del colegio elaboró un vídeo donde se nos presenta a un gran caracol desde su escondite hasta el momento en que éste nos muestra confianza a pesar de ser manipulado.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t xml:space="preserve">            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587F59F" wp14:editId="3BE6AD41">
                  <wp:extent cx="486383" cy="381000"/>
                  <wp:effectExtent l="0" t="0" r="9525" b="0"/>
                  <wp:docPr id="531" name="Imagen 531" descr="Dibujos de Caracoles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Caracoles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62" cy="38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Actividad elaborada a nivel personal y voluntaria para mostrarles a los niños que aunque el miedo es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libre,  si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confiamos, lograremos vencerlo </w:t>
            </w:r>
          </w:p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360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Al ser una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actividad  no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 planteada, consideramos que todo aquello que los niños y familias realicen de manera espontánea y a la vez compartan con el resto de la comunidad educativa es algo positivo y enriquecedor.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 estudiar por el claustro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Positiva pues todo aquello que  los niños puedan ofrecer de manera espontánea al resto siempre va a ser bien acogido.</w:t>
            </w:r>
          </w:p>
        </w:tc>
      </w:tr>
      <w:tr w:rsidR="00C35F62" w:rsidRPr="00FC11DF" w:rsidTr="00653560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HUERTO FAMILIAR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Muestra y recogida de productos de un huerto de una de las familias de nuestro colegio, quienes se ofrecieron para mostrarnos cómo se deben recolectar los productos que sembramos y la variedad de alimentos que podemos obtener con nuestro esfuerzo y paciencia.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1B915DF3" wp14:editId="32CDE3C2">
                  <wp:extent cx="771525" cy="533400"/>
                  <wp:effectExtent l="0" t="0" r="9525" b="0"/>
                  <wp:docPr id="532" name="Imagen 532" descr="Huerta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uerta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La actividad de esta gran familia ha sido maravillosa. En ella podemos ver a través de un vídeo explicativo cómo una familia recolecta una gran variedad de alimentos naturales y ecológicos </w:t>
            </w:r>
          </w:p>
          <w:p w:rsidR="00C35F62" w:rsidRPr="00FC11DF" w:rsidRDefault="00C35F62" w:rsidP="00653560">
            <w:pPr>
              <w:suppressAutoHyphens/>
              <w:autoSpaceDE w:val="0"/>
              <w:snapToGrid w:val="0"/>
              <w:spacing w:before="60" w:after="60" w:line="360" w:lineRule="auto"/>
              <w:rPr>
                <w:rFonts w:ascii="Calibri" w:eastAsia="Times New Roman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Al ser una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actividad  no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 xml:space="preserve"> planteada, consideramos que todo aquello que los niños y familias realicen de manera espontánea y a la vez compartan con el resto de la comunidad educativa es algo positivo y enriquecedor.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Actividad que de hecho se estaba realizando a nivel escolar hasta el confinamiento 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Muy positiva pues todo aquello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que  los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niños puedan ofrecer de manera espontánea al resto siempre va a ser bien acogido. 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 siempre es de agradecer que familias de manera altruista nos ofrezcan y nos abran las puertas de sus casas y compartan con nosotros sus pequeños  pero  a la vez grandes tesoros.</w:t>
            </w:r>
          </w:p>
        </w:tc>
      </w:tr>
      <w:tr w:rsidR="00C35F62" w:rsidRPr="00FC11DF" w:rsidTr="00653560">
        <w:trPr>
          <w:trHeight w:val="36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7E1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METAMORFOSIS DE UN RENACUAJO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Actividad realizada a nivel personal por un alumno de nuestro colegio y su familia. 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 ella podemos observar como pequeños renacuajos se van transformando en lo que serán sapitos corredores.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                  </w:t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1FA750F6" wp14:editId="70D9ABC8">
                  <wp:extent cx="444600" cy="468000"/>
                  <wp:effectExtent l="0" t="0" r="0" b="8255"/>
                  <wp:docPr id="533" name="Imagen 533" descr="Sapo: Imágenes, fotos de stock y vecto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apo: Imágenes, fotos de stock y vecto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1DF">
              <w:rPr>
                <w:rFonts w:ascii="Souvenir Lt BT" w:eastAsia="Times New Roman" w:hAnsi="Souvenir Lt BT" w:cs="Souvenir Lt BT"/>
                <w:noProof/>
                <w:sz w:val="20"/>
                <w:szCs w:val="20"/>
                <w:lang w:eastAsia="es-ES"/>
              </w:rPr>
              <w:t xml:space="preserve">                        </w:t>
            </w:r>
          </w:p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Dicha actividad ha sido </w:t>
            </w:r>
            <w:proofErr w:type="gramStart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elaborada  mediante</w:t>
            </w:r>
            <w:proofErr w:type="gramEnd"/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varios vídeos y fotografías enlazados. Ha sido muy bonito ver el proceso de transformación de manera tan clara.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ar-SA"/>
              </w:rPr>
              <w:t>La actividad ha resultado fascinante y motivadora.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Es una actividad que se podría plantear a nivel escolar en el área de CCNN para mostrar EL CICLO DE LA VIDA.</w:t>
            </w:r>
          </w:p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62" w:rsidRPr="00FC11DF" w:rsidRDefault="00C35F62" w:rsidP="00653560">
            <w:pPr>
              <w:suppressAutoHyphens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11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Muy positiva y gratificante.</w:t>
            </w:r>
          </w:p>
        </w:tc>
      </w:tr>
    </w:tbl>
    <w:p w:rsidR="00C35F62" w:rsidRPr="00FC11DF" w:rsidRDefault="00C35F62" w:rsidP="00C35F62">
      <w:pPr>
        <w:suppressAutoHyphens/>
        <w:spacing w:before="60" w:after="60" w:line="240" w:lineRule="auto"/>
        <w:rPr>
          <w:rFonts w:ascii="Souvenir Lt BT" w:eastAsia="Times New Roman" w:hAnsi="Souvenir Lt BT" w:cs="Souvenir Lt BT"/>
          <w:sz w:val="20"/>
          <w:szCs w:val="20"/>
          <w:lang w:eastAsia="ar-SA"/>
        </w:rPr>
      </w:pPr>
      <w:bookmarkStart w:id="0" w:name="_GoBack"/>
      <w:bookmarkEnd w:id="0"/>
    </w:p>
    <w:sectPr w:rsidR="00C35F62" w:rsidRPr="00FC11DF" w:rsidSect="00C35F62">
      <w:headerReference w:type="default" r:id="rId20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9D" w:rsidRDefault="005E1B9D" w:rsidP="00C35F62">
      <w:pPr>
        <w:spacing w:after="0" w:line="240" w:lineRule="auto"/>
      </w:pPr>
      <w:r>
        <w:separator/>
      </w:r>
    </w:p>
  </w:endnote>
  <w:endnote w:type="continuationSeparator" w:id="0">
    <w:p w:rsidR="005E1B9D" w:rsidRDefault="005E1B9D" w:rsidP="00C3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Poor Richar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9D" w:rsidRDefault="005E1B9D" w:rsidP="00C35F62">
      <w:pPr>
        <w:spacing w:after="0" w:line="240" w:lineRule="auto"/>
      </w:pPr>
      <w:r>
        <w:separator/>
      </w:r>
    </w:p>
  </w:footnote>
  <w:footnote w:type="continuationSeparator" w:id="0">
    <w:p w:rsidR="005E1B9D" w:rsidRDefault="005E1B9D" w:rsidP="00C3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62" w:rsidRDefault="00C35F62" w:rsidP="00C35F62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867025" cy="619125"/>
          <wp:effectExtent l="0" t="0" r="9525" b="9525"/>
          <wp:docPr id="519" name="Imagen 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" name="mascota  con nombre de co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3" t="18803" r="13336" b="25631"/>
                  <a:stretch/>
                </pic:blipFill>
                <pic:spPr bwMode="auto">
                  <a:xfrm>
                    <a:off x="0" y="0"/>
                    <a:ext cx="2867947" cy="6193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DF"/>
    <w:rsid w:val="005767C6"/>
    <w:rsid w:val="005E1B9D"/>
    <w:rsid w:val="00C35F62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6136"/>
  <w15:chartTrackingRefBased/>
  <w15:docId w15:val="{DC9E27E5-A90D-43CD-AD1C-2F396749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F62"/>
  </w:style>
  <w:style w:type="paragraph" w:styleId="Piedepgina">
    <w:name w:val="footer"/>
    <w:basedOn w:val="Normal"/>
    <w:link w:val="PiedepginaCar"/>
    <w:uiPriority w:val="99"/>
    <w:unhideWhenUsed/>
    <w:rsid w:val="00C3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2020-06-10T11:31:00Z</dcterms:created>
  <dcterms:modified xsi:type="dcterms:W3CDTF">2020-06-10T11:48:00Z</dcterms:modified>
</cp:coreProperties>
</file>